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AE1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El </w:t>
      </w:r>
      <w:r>
        <w:rPr>
          <w:rFonts w:ascii="Arial" w:hAnsi="Arial" w:cs="Arial"/>
          <w:sz w:val="8"/>
          <w:szCs w:val="8"/>
        </w:rPr>
        <w:t xml:space="preserve">-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Fadaly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, H.; M.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Hamed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; M.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Kassem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and F. Hassan</w:t>
      </w:r>
    </w:p>
    <w:p w:rsidR="00000000" w:rsidRDefault="00456AE1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0000" w:rsidRDefault="00456AE1" w:rsidP="00A33177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DETECTION OF SOME MICROBIAL ENZYMES IN</w:t>
      </w:r>
      <w:r w:rsidR="00A3317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CURING SOLUTION AND CHEMICAL DESCRIPTION</w:t>
      </w:r>
      <w:r w:rsidR="00A3317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OF MEA T DURING THE CURING PROCESS</w:t>
      </w:r>
    </w:p>
    <w:p w:rsidR="00000000" w:rsidRDefault="00456AE1">
      <w:pPr>
        <w:widowControl w:val="0"/>
        <w:tabs>
          <w:tab w:val="left" w:pos="765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0000" w:rsidRDefault="00456AE1">
      <w:pPr>
        <w:widowControl w:val="0"/>
        <w:tabs>
          <w:tab w:val="left" w:pos="765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0000" w:rsidRDefault="00456AE1">
      <w:pPr>
        <w:widowControl w:val="0"/>
        <w:tabs>
          <w:tab w:val="left" w:pos="447"/>
        </w:tabs>
        <w:autoSpaceDE w:val="0"/>
        <w:autoSpaceDN w:val="0"/>
        <w:bidi w:val="0"/>
        <w:adjustRightInd w:val="0"/>
        <w:spacing w:after="0" w:line="240" w:lineRule="auto"/>
        <w:ind w:left="448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El </w:t>
      </w:r>
      <w:r>
        <w:rPr>
          <w:rFonts w:ascii="Arial" w:hAnsi="Arial" w:cs="Arial"/>
          <w:sz w:val="8"/>
          <w:szCs w:val="8"/>
        </w:rPr>
        <w:t xml:space="preserve">-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Fadaly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, H.; M.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Hamed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; M.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Kassem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and F. Hassan</w:t>
      </w:r>
    </w:p>
    <w:p w:rsidR="00000000" w:rsidRDefault="00456AE1">
      <w:pPr>
        <w:widowControl w:val="0"/>
        <w:tabs>
          <w:tab w:val="left" w:pos="44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0000" w:rsidRDefault="00456AE1">
      <w:pPr>
        <w:widowControl w:val="0"/>
        <w:tabs>
          <w:tab w:val="left" w:pos="187"/>
          <w:tab w:val="left" w:pos="1065"/>
        </w:tabs>
        <w:autoSpaceDE w:val="0"/>
        <w:autoSpaceDN w:val="0"/>
        <w:bidi w:val="0"/>
        <w:adjustRightInd w:val="0"/>
        <w:spacing w:after="0" w:line="385" w:lineRule="exact"/>
        <w:ind w:left="1066" w:hanging="878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*Agric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Miocrobiol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. Dept. and Food industries Dept**, Faculty of Agric.,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Mansoura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University,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Mansoura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Egypt.</w:t>
      </w:r>
    </w:p>
    <w:p w:rsidR="00000000" w:rsidRDefault="00456AE1">
      <w:pPr>
        <w:widowControl w:val="0"/>
        <w:tabs>
          <w:tab w:val="left" w:pos="187"/>
          <w:tab w:val="left" w:pos="1065"/>
        </w:tabs>
        <w:autoSpaceDE w:val="0"/>
        <w:autoSpaceDN w:val="0"/>
        <w:bidi w:val="0"/>
        <w:adjustRightInd w:val="0"/>
        <w:spacing w:after="0" w:line="385" w:lineRule="exact"/>
        <w:jc w:val="both"/>
        <w:rPr>
          <w:rFonts w:ascii="Arial" w:hAnsi="Arial" w:cs="Arial"/>
          <w:i/>
          <w:iCs/>
          <w:sz w:val="26"/>
          <w:szCs w:val="26"/>
        </w:rPr>
      </w:pPr>
    </w:p>
    <w:p w:rsidR="00000000" w:rsidRDefault="00456AE1">
      <w:pPr>
        <w:widowControl w:val="0"/>
        <w:tabs>
          <w:tab w:val="left" w:pos="187"/>
          <w:tab w:val="left" w:pos="106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Abstract</w:t>
      </w:r>
    </w:p>
    <w:p w:rsidR="00000000" w:rsidRDefault="00456AE1">
      <w:pPr>
        <w:widowControl w:val="0"/>
        <w:tabs>
          <w:tab w:val="left" w:pos="187"/>
          <w:tab w:val="left" w:pos="1065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000000" w:rsidRDefault="00456AE1">
      <w:pPr>
        <w:widowControl w:val="0"/>
        <w:tabs>
          <w:tab w:val="left" w:pos="623"/>
        </w:tabs>
        <w:autoSpaceDE w:val="0"/>
        <w:autoSpaceDN w:val="0"/>
        <w:bidi w:val="0"/>
        <w:adjustRightInd w:val="0"/>
        <w:spacing w:after="0" w:line="272" w:lineRule="exact"/>
        <w:ind w:firstLine="6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total bacterial count, </w:t>
      </w:r>
      <w:proofErr w:type="spellStart"/>
      <w:r>
        <w:rPr>
          <w:rFonts w:ascii="Arial" w:hAnsi="Arial" w:cs="Arial"/>
          <w:sz w:val="26"/>
          <w:szCs w:val="26"/>
        </w:rPr>
        <w:t>lipolytic</w:t>
      </w:r>
      <w:proofErr w:type="spellEnd"/>
      <w:r>
        <w:rPr>
          <w:rFonts w:ascii="Arial" w:hAnsi="Arial" w:cs="Arial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sz w:val="26"/>
          <w:szCs w:val="26"/>
        </w:rPr>
        <w:t>proteolytic</w:t>
      </w:r>
      <w:proofErr w:type="spellEnd"/>
      <w:r>
        <w:rPr>
          <w:rFonts w:ascii="Arial" w:hAnsi="Arial" w:cs="Arial"/>
          <w:sz w:val="26"/>
          <w:szCs w:val="26"/>
        </w:rPr>
        <w:t xml:space="preserve"> bacteria were examined in immersing solution during ten days of curing process of meat. Some of chemical changes of immersed meat were also traced during the process. Total solid compound, </w:t>
      </w:r>
      <w:proofErr w:type="spellStart"/>
      <w:r>
        <w:rPr>
          <w:rFonts w:ascii="Arial" w:hAnsi="Arial" w:cs="Arial"/>
          <w:sz w:val="26"/>
          <w:szCs w:val="26"/>
        </w:rPr>
        <w:t>NaCl</w:t>
      </w:r>
      <w:proofErr w:type="spellEnd"/>
      <w:r>
        <w:rPr>
          <w:rFonts w:ascii="Arial" w:hAnsi="Arial" w:cs="Arial"/>
          <w:sz w:val="26"/>
          <w:szCs w:val="26"/>
        </w:rPr>
        <w:t>, moisture</w:t>
      </w:r>
      <w:r>
        <w:rPr>
          <w:rFonts w:ascii="Arial" w:hAnsi="Arial" w:cs="Arial"/>
          <w:sz w:val="26"/>
          <w:szCs w:val="26"/>
        </w:rPr>
        <w:t>, water holding capacity, as well as meat ten</w:t>
      </w:r>
      <w:r>
        <w:rPr>
          <w:rFonts w:ascii="Arial" w:hAnsi="Arial" w:cs="Arial"/>
          <w:sz w:val="26"/>
          <w:szCs w:val="26"/>
        </w:rPr>
        <w:softHyphen/>
        <w:t>derness were also tested. Total nitrogen and non-protein nitro</w:t>
      </w:r>
      <w:r>
        <w:rPr>
          <w:rFonts w:ascii="Arial" w:hAnsi="Arial" w:cs="Arial"/>
          <w:sz w:val="26"/>
          <w:szCs w:val="26"/>
        </w:rPr>
        <w:softHyphen/>
        <w:t xml:space="preserve">gen were all </w:t>
      </w:r>
      <w:proofErr w:type="spellStart"/>
      <w:r>
        <w:rPr>
          <w:rFonts w:ascii="Arial" w:hAnsi="Arial" w:cs="Arial"/>
          <w:sz w:val="26"/>
          <w:szCs w:val="26"/>
        </w:rPr>
        <w:t>determinedmeat</w:t>
      </w:r>
      <w:proofErr w:type="spellEnd"/>
      <w:r>
        <w:rPr>
          <w:rFonts w:ascii="Arial" w:hAnsi="Arial" w:cs="Arial"/>
          <w:sz w:val="26"/>
          <w:szCs w:val="26"/>
        </w:rPr>
        <w:t xml:space="preserve"> samples. </w:t>
      </w:r>
      <w:proofErr w:type="spellStart"/>
      <w:r>
        <w:rPr>
          <w:rFonts w:ascii="Arial" w:hAnsi="Arial" w:cs="Arial"/>
          <w:sz w:val="26"/>
          <w:szCs w:val="26"/>
        </w:rPr>
        <w:t>Optained</w:t>
      </w:r>
      <w:proofErr w:type="spellEnd"/>
      <w:r>
        <w:rPr>
          <w:rFonts w:ascii="Arial" w:hAnsi="Arial" w:cs="Arial"/>
          <w:sz w:val="26"/>
          <w:szCs w:val="26"/>
        </w:rPr>
        <w:t xml:space="preserve"> results showed the superiority off </w:t>
      </w:r>
      <w:proofErr w:type="spellStart"/>
      <w:r>
        <w:rPr>
          <w:rFonts w:ascii="Arial" w:hAnsi="Arial" w:cs="Arial"/>
          <w:sz w:val="26"/>
          <w:szCs w:val="26"/>
        </w:rPr>
        <w:t>proteolytic</w:t>
      </w:r>
      <w:proofErr w:type="spellEnd"/>
      <w:r>
        <w:rPr>
          <w:rFonts w:ascii="Arial" w:hAnsi="Arial" w:cs="Arial"/>
          <w:sz w:val="26"/>
          <w:szCs w:val="26"/>
        </w:rPr>
        <w:t xml:space="preserve"> bacteria over the other bacterial groups in the curing</w:t>
      </w:r>
      <w:r>
        <w:rPr>
          <w:rFonts w:ascii="Arial" w:hAnsi="Arial" w:cs="Arial"/>
          <w:sz w:val="26"/>
          <w:szCs w:val="26"/>
        </w:rPr>
        <w:t xml:space="preserve"> solution. The </w:t>
      </w:r>
      <w:proofErr w:type="spellStart"/>
      <w:r>
        <w:rPr>
          <w:rFonts w:ascii="Arial" w:hAnsi="Arial" w:cs="Arial"/>
          <w:sz w:val="26"/>
          <w:szCs w:val="26"/>
        </w:rPr>
        <w:t>proteolytic</w:t>
      </w:r>
      <w:proofErr w:type="spellEnd"/>
      <w:r>
        <w:rPr>
          <w:rFonts w:ascii="Arial" w:hAnsi="Arial" w:cs="Arial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sz w:val="26"/>
          <w:szCs w:val="26"/>
        </w:rPr>
        <w:t>lip</w:t>
      </w:r>
      <w:r>
        <w:rPr>
          <w:rFonts w:ascii="Arial" w:hAnsi="Arial" w:cs="Arial"/>
          <w:sz w:val="26"/>
          <w:szCs w:val="26"/>
        </w:rPr>
        <w:softHyphen/>
        <w:t>olytic</w:t>
      </w:r>
      <w:proofErr w:type="spellEnd"/>
      <w:r>
        <w:rPr>
          <w:rFonts w:ascii="Arial" w:hAnsi="Arial" w:cs="Arial"/>
          <w:sz w:val="26"/>
          <w:szCs w:val="26"/>
        </w:rPr>
        <w:t xml:space="preserve"> enzymes were determined in curing solution and the re</w:t>
      </w:r>
      <w:r>
        <w:rPr>
          <w:rFonts w:ascii="Arial" w:hAnsi="Arial" w:cs="Arial"/>
          <w:sz w:val="26"/>
          <w:szCs w:val="26"/>
        </w:rPr>
        <w:softHyphen/>
        <w:t xml:space="preserve">lation between both of them was also calculated, both meat tenderness and </w:t>
      </w:r>
      <w:proofErr w:type="spellStart"/>
      <w:r>
        <w:rPr>
          <w:rFonts w:ascii="Arial" w:hAnsi="Arial" w:cs="Arial"/>
          <w:sz w:val="26"/>
          <w:szCs w:val="26"/>
        </w:rPr>
        <w:t>NaCl</w:t>
      </w:r>
      <w:proofErr w:type="spellEnd"/>
      <w:r>
        <w:rPr>
          <w:rFonts w:ascii="Arial" w:hAnsi="Arial" w:cs="Arial"/>
          <w:sz w:val="26"/>
          <w:szCs w:val="26"/>
        </w:rPr>
        <w:t xml:space="preserve"> concentration gradually increased up to the end of the process. On the other hand</w:t>
      </w:r>
      <w:r>
        <w:rPr>
          <w:rFonts w:ascii="Arial" w:hAnsi="Arial" w:cs="Arial"/>
          <w:sz w:val="26"/>
          <w:szCs w:val="26"/>
        </w:rPr>
        <w:t>, data showed slow decrease of free amino nitrogen and non-protein nitrogen of meat.</w:t>
      </w:r>
    </w:p>
    <w:p w:rsidR="00000000" w:rsidRDefault="00456AE1">
      <w:pPr>
        <w:widowControl w:val="0"/>
        <w:tabs>
          <w:tab w:val="left" w:pos="623"/>
        </w:tabs>
        <w:autoSpaceDE w:val="0"/>
        <w:autoSpaceDN w:val="0"/>
        <w:bidi w:val="0"/>
        <w:adjustRightInd w:val="0"/>
        <w:spacing w:after="0" w:line="272" w:lineRule="exact"/>
        <w:jc w:val="both"/>
        <w:rPr>
          <w:rFonts w:ascii="Arial" w:hAnsi="Arial" w:cs="Arial"/>
          <w:sz w:val="26"/>
          <w:szCs w:val="26"/>
        </w:rPr>
      </w:pPr>
    </w:p>
    <w:p w:rsidR="00456AE1" w:rsidRDefault="00456AE1" w:rsidP="00456AE1">
      <w:pPr>
        <w:widowControl w:val="0"/>
        <w:tabs>
          <w:tab w:val="left" w:pos="623"/>
        </w:tabs>
        <w:autoSpaceDE w:val="0"/>
        <w:autoSpaceDN w:val="0"/>
        <w:bidi w:val="0"/>
        <w:adjustRightInd w:val="0"/>
        <w:spacing w:after="0" w:line="272" w:lineRule="exact"/>
        <w:jc w:val="both"/>
        <w:rPr>
          <w:rFonts w:ascii="Arial" w:hAnsi="Arial" w:cs="Arial"/>
          <w:sz w:val="26"/>
          <w:szCs w:val="26"/>
        </w:rPr>
      </w:pPr>
    </w:p>
    <w:p w:rsidR="00456AE1" w:rsidRDefault="00456AE1" w:rsidP="00456AE1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54620D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Detection of some microbial enzymes in curing solution and chemical description of meat during the curing process</w:t>
      </w:r>
      <w:r w:rsidRPr="0054620D">
        <w:rPr>
          <w:rFonts w:ascii="Tahoma" w:eastAsia="Times New Roman" w:hAnsi="Tahoma" w:cs="Tahoma"/>
          <w:color w:val="FF0000"/>
          <w:sz w:val="28"/>
          <w:szCs w:val="28"/>
        </w:rPr>
        <w:br/>
      </w:r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>الجمعية المصرية للتغذية , الصفحات 94-114, 1/1/1998</w:t>
      </w:r>
      <w:r w:rsidRPr="005570D1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أ.د. حسين </w:t>
      </w:r>
      <w:proofErr w:type="spellStart"/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>عبدالله</w:t>
      </w:r>
      <w:proofErr w:type="spellEnd"/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محمد </w:t>
      </w:r>
      <w:proofErr w:type="spellStart"/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>الفضالى</w:t>
      </w:r>
      <w:proofErr w:type="spellEnd"/>
      <w:r w:rsidRPr="005570D1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>أ.د. محمد منصور قاسم على</w:t>
      </w:r>
      <w:r w:rsidRPr="005570D1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>محمد إبراهيم حامد - زراعة المنصورة</w:t>
      </w:r>
      <w:r w:rsidRPr="005570D1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570D1">
        <w:rPr>
          <w:rFonts w:ascii="Tahoma" w:eastAsia="Times New Roman" w:hAnsi="Tahoma" w:cs="Tahoma"/>
          <w:color w:val="000000"/>
          <w:sz w:val="28"/>
          <w:szCs w:val="28"/>
          <w:rtl/>
        </w:rPr>
        <w:t>فاتن حسن على  - مركز البحوث الزراعية</w:t>
      </w:r>
      <w:r w:rsidRPr="005570D1">
        <w:rPr>
          <w:rFonts w:ascii="Tahoma" w:eastAsia="Times New Roman" w:hAnsi="Tahoma" w:cs="Tahoma"/>
          <w:color w:val="000000"/>
          <w:sz w:val="28"/>
          <w:szCs w:val="28"/>
        </w:rPr>
        <w:br/>
      </w:r>
    </w:p>
    <w:p w:rsidR="00456AE1" w:rsidRDefault="00456AE1" w:rsidP="00456A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حسين </w:t>
      </w:r>
      <w:proofErr w:type="spellStart"/>
      <w:r>
        <w:rPr>
          <w:rFonts w:hint="cs"/>
          <w:sz w:val="28"/>
          <w:szCs w:val="28"/>
          <w:rtl/>
        </w:rPr>
        <w:t>عبدالله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الفضالي</w:t>
      </w:r>
      <w:proofErr w:type="spellEnd"/>
      <w:r>
        <w:rPr>
          <w:rFonts w:hint="cs"/>
          <w:sz w:val="28"/>
          <w:szCs w:val="28"/>
          <w:rtl/>
        </w:rPr>
        <w:t>، محمد إبراهيم حامد، محمد منصور قاسم، فاتن حسن: "</w:t>
      </w:r>
      <w:r w:rsidRPr="00A862DB">
        <w:rPr>
          <w:rFonts w:hint="cs"/>
          <w:b/>
          <w:bCs/>
          <w:sz w:val="28"/>
          <w:szCs w:val="28"/>
          <w:rtl/>
        </w:rPr>
        <w:t>الكشف عن بعض الإنزيمات الميكروبية في محلول التمليح والوصف الكيماوي للحم خلال عملية التمليح</w:t>
      </w:r>
      <w:r>
        <w:rPr>
          <w:rFonts w:hint="cs"/>
          <w:sz w:val="28"/>
          <w:szCs w:val="28"/>
          <w:rtl/>
        </w:rPr>
        <w:t xml:space="preserve"> </w:t>
      </w:r>
      <w:r w:rsidRPr="005570D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Detection of some microbial enzymes in curing solution and chemical description of meat during the curing process</w:t>
      </w:r>
      <w:r>
        <w:rPr>
          <w:rFonts w:hint="cs"/>
          <w:sz w:val="28"/>
          <w:szCs w:val="28"/>
          <w:rtl/>
        </w:rPr>
        <w:t>"، المجلة المصرية للتغذية، المجلد 13، العدد 1، 1998، الصفحات 94-114.</w:t>
      </w:r>
    </w:p>
    <w:p w:rsidR="00456AE1" w:rsidRDefault="00456AE1" w:rsidP="00456AE1">
      <w:pPr>
        <w:widowControl w:val="0"/>
        <w:tabs>
          <w:tab w:val="left" w:pos="623"/>
        </w:tabs>
        <w:autoSpaceDE w:val="0"/>
        <w:autoSpaceDN w:val="0"/>
        <w:bidi w:val="0"/>
        <w:adjustRightInd w:val="0"/>
        <w:spacing w:after="0" w:line="272" w:lineRule="exact"/>
        <w:jc w:val="both"/>
        <w:rPr>
          <w:rFonts w:ascii="Arial" w:hAnsi="Arial" w:cs="Arial"/>
          <w:sz w:val="26"/>
          <w:szCs w:val="26"/>
        </w:rPr>
      </w:pPr>
    </w:p>
    <w:sectPr w:rsidR="00456AE1">
      <w:type w:val="continuous"/>
      <w:pgSz w:w="12240" w:h="15840"/>
      <w:pgMar w:top="1122" w:right="1117" w:bottom="1190" w:left="4268" w:header="120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8B4"/>
    <w:multiLevelType w:val="hybridMultilevel"/>
    <w:tmpl w:val="1A4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D510E"/>
    <w:multiLevelType w:val="multilevel"/>
    <w:tmpl w:val="880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3177"/>
    <w:rsid w:val="00456AE1"/>
    <w:rsid w:val="00A3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E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</dc:creator>
  <cp:keywords/>
  <dc:description/>
  <cp:lastModifiedBy>salama</cp:lastModifiedBy>
  <cp:revision>3</cp:revision>
  <dcterms:created xsi:type="dcterms:W3CDTF">2013-08-31T17:27:00Z</dcterms:created>
  <dcterms:modified xsi:type="dcterms:W3CDTF">2013-08-31T17:29:00Z</dcterms:modified>
</cp:coreProperties>
</file>