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C3" w:rsidRPr="001E31C3" w:rsidRDefault="001E31C3" w:rsidP="001E3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31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Background:</w:t>
      </w:r>
      <w:r w:rsidRPr="001E31C3">
        <w:rPr>
          <w:rFonts w:ascii="Times New Roman" w:eastAsia="Times New Roman" w:hAnsi="Times New Roman" w:cs="Times New Roman"/>
          <w:color w:val="000000"/>
          <w:sz w:val="27"/>
          <w:szCs w:val="27"/>
        </w:rPr>
        <w:t> Accumulating evidence reveals that microRNA 27a (</w:t>
      </w:r>
      <w:proofErr w:type="spellStart"/>
      <w:r w:rsidRPr="001E31C3">
        <w:rPr>
          <w:rFonts w:ascii="Times New Roman" w:eastAsia="Times New Roman" w:hAnsi="Times New Roman" w:cs="Times New Roman"/>
          <w:color w:val="000000"/>
          <w:sz w:val="27"/>
          <w:szCs w:val="27"/>
        </w:rPr>
        <w:t>miR</w:t>
      </w:r>
      <w:proofErr w:type="spellEnd"/>
      <w:r w:rsidRPr="001E31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27a) is implicated in the pathogenesis of cancer. However, its diagnostic role in breast cancer (BC) still needs investigation.</w:t>
      </w:r>
    </w:p>
    <w:p w:rsidR="001E31C3" w:rsidRPr="001E31C3" w:rsidRDefault="001E31C3" w:rsidP="001E3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31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Materials and methods:</w:t>
      </w:r>
      <w:r w:rsidRPr="001E31C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1E31C3">
        <w:rPr>
          <w:rFonts w:ascii="Times New Roman" w:eastAsia="Times New Roman" w:hAnsi="Times New Roman" w:cs="Times New Roman"/>
          <w:color w:val="000000"/>
          <w:sz w:val="27"/>
          <w:szCs w:val="27"/>
        </w:rPr>
        <w:t>MiR</w:t>
      </w:r>
      <w:proofErr w:type="spellEnd"/>
      <w:r w:rsidRPr="001E31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27a expression was assessed in serum samples from patients with primary BC (</w:t>
      </w:r>
      <w:r w:rsidRPr="001E31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 =</w:t>
      </w:r>
      <w:r w:rsidRPr="001E31C3">
        <w:rPr>
          <w:rFonts w:ascii="Times New Roman" w:eastAsia="Times New Roman" w:hAnsi="Times New Roman" w:cs="Times New Roman"/>
          <w:color w:val="000000"/>
          <w:sz w:val="27"/>
          <w:szCs w:val="27"/>
        </w:rPr>
        <w:t> 100), benign breast lesions (</w:t>
      </w:r>
      <w:r w:rsidRPr="001E31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 =</w:t>
      </w:r>
      <w:r w:rsidRPr="001E31C3">
        <w:rPr>
          <w:rFonts w:ascii="Times New Roman" w:eastAsia="Times New Roman" w:hAnsi="Times New Roman" w:cs="Times New Roman"/>
          <w:color w:val="000000"/>
          <w:sz w:val="27"/>
          <w:szCs w:val="27"/>
        </w:rPr>
        <w:t> 30) and control group served as healthy volunteers (</w:t>
      </w:r>
      <w:r w:rsidRPr="001E31C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 =</w:t>
      </w:r>
      <w:r w:rsidRPr="001E31C3">
        <w:rPr>
          <w:rFonts w:ascii="Times New Roman" w:eastAsia="Times New Roman" w:hAnsi="Times New Roman" w:cs="Times New Roman"/>
          <w:color w:val="000000"/>
          <w:sz w:val="27"/>
          <w:szCs w:val="27"/>
        </w:rPr>
        <w:t> 20) using quantitative real-time PCR.</w:t>
      </w:r>
    </w:p>
    <w:p w:rsidR="001E31C3" w:rsidRPr="001E31C3" w:rsidRDefault="001E31C3" w:rsidP="001E3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31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Results:</w:t>
      </w:r>
      <w:r w:rsidRPr="001E31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Both expression and mean rank of </w:t>
      </w:r>
      <w:proofErr w:type="spellStart"/>
      <w:r w:rsidRPr="001E31C3">
        <w:rPr>
          <w:rFonts w:ascii="Times New Roman" w:eastAsia="Times New Roman" w:hAnsi="Times New Roman" w:cs="Times New Roman"/>
          <w:color w:val="000000"/>
          <w:sz w:val="27"/>
          <w:szCs w:val="27"/>
        </w:rPr>
        <w:t>miR</w:t>
      </w:r>
      <w:proofErr w:type="spellEnd"/>
      <w:r w:rsidRPr="001E31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27a and tumor markers among BC patients as compared to the other two groups. </w:t>
      </w:r>
      <w:proofErr w:type="spellStart"/>
      <w:r w:rsidRPr="001E31C3">
        <w:rPr>
          <w:rFonts w:ascii="Times New Roman" w:eastAsia="Times New Roman" w:hAnsi="Times New Roman" w:cs="Times New Roman"/>
          <w:color w:val="000000"/>
          <w:sz w:val="27"/>
          <w:szCs w:val="27"/>
        </w:rPr>
        <w:t>Clinicopathological</w:t>
      </w:r>
      <w:proofErr w:type="spellEnd"/>
      <w:r w:rsidRPr="001E31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characteristics showed significant relation with </w:t>
      </w:r>
      <w:proofErr w:type="spellStart"/>
      <w:r w:rsidRPr="001E31C3">
        <w:rPr>
          <w:rFonts w:ascii="Times New Roman" w:eastAsia="Times New Roman" w:hAnsi="Times New Roman" w:cs="Times New Roman"/>
          <w:color w:val="000000"/>
          <w:sz w:val="27"/>
          <w:szCs w:val="27"/>
        </w:rPr>
        <w:t>miRN</w:t>
      </w:r>
      <w:proofErr w:type="spellEnd"/>
      <w:r w:rsidRPr="001E31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27a expression for clinical stage, histological grading, ER receptor and HER-2/</w:t>
      </w:r>
      <w:proofErr w:type="spellStart"/>
      <w:r w:rsidRPr="001E31C3">
        <w:rPr>
          <w:rFonts w:ascii="Times New Roman" w:eastAsia="Times New Roman" w:hAnsi="Times New Roman" w:cs="Times New Roman"/>
          <w:color w:val="000000"/>
          <w:sz w:val="27"/>
          <w:szCs w:val="27"/>
        </w:rPr>
        <w:t>neu</w:t>
      </w:r>
      <w:proofErr w:type="spellEnd"/>
      <w:r w:rsidRPr="001E31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The diagnostic efficacy for </w:t>
      </w:r>
      <w:proofErr w:type="spellStart"/>
      <w:r w:rsidRPr="001E31C3">
        <w:rPr>
          <w:rFonts w:ascii="Times New Roman" w:eastAsia="Times New Roman" w:hAnsi="Times New Roman" w:cs="Times New Roman"/>
          <w:color w:val="000000"/>
          <w:sz w:val="27"/>
          <w:szCs w:val="27"/>
        </w:rPr>
        <w:t>miR</w:t>
      </w:r>
      <w:proofErr w:type="spellEnd"/>
      <w:r w:rsidRPr="001E31C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27a was superior to both tumor markers for early detection of BC especially high-risk BC groups.</w:t>
      </w:r>
    </w:p>
    <w:p w:rsidR="00371B88" w:rsidRDefault="001E31C3">
      <w:bookmarkStart w:id="0" w:name="_GoBack"/>
      <w:bookmarkEnd w:id="0"/>
    </w:p>
    <w:sectPr w:rsidR="00371B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E7"/>
    <w:rsid w:val="000D420F"/>
    <w:rsid w:val="001E31C3"/>
    <w:rsid w:val="00580AB0"/>
    <w:rsid w:val="0094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>Microsoft Office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mongy</dc:creator>
  <cp:keywords/>
  <dc:description/>
  <cp:lastModifiedBy>el mongy</cp:lastModifiedBy>
  <cp:revision>2</cp:revision>
  <dcterms:created xsi:type="dcterms:W3CDTF">2020-04-06T21:53:00Z</dcterms:created>
  <dcterms:modified xsi:type="dcterms:W3CDTF">2020-04-06T21:54:00Z</dcterms:modified>
</cp:coreProperties>
</file>