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359" w:rsidRPr="00467359" w:rsidRDefault="00467359" w:rsidP="00467359">
      <w:pPr>
        <w:spacing w:after="0" w:line="240" w:lineRule="auto"/>
        <w:rPr>
          <w:rFonts w:ascii="Times New Roman" w:eastAsia="Times New Roman" w:hAnsi="Times New Roman" w:cs="Times New Roman"/>
          <w:b/>
          <w:bCs/>
          <w:color w:val="333333"/>
          <w:sz w:val="34"/>
          <w:szCs w:val="34"/>
        </w:rPr>
      </w:pPr>
      <w:r w:rsidRPr="00467359">
        <w:rPr>
          <w:rFonts w:ascii="Times New Roman" w:eastAsia="Times New Roman" w:hAnsi="Times New Roman" w:cs="Times New Roman"/>
          <w:b/>
          <w:bCs/>
          <w:color w:val="333333"/>
          <w:sz w:val="34"/>
          <w:szCs w:val="34"/>
        </w:rPr>
        <w:t>Abstract</w:t>
      </w:r>
    </w:p>
    <w:p w:rsidR="00467359" w:rsidRPr="00467359" w:rsidRDefault="00467359" w:rsidP="00467359">
      <w:pPr>
        <w:spacing w:before="240" w:after="240" w:line="240" w:lineRule="auto"/>
        <w:rPr>
          <w:rFonts w:ascii="Arial" w:eastAsia="Times New Roman" w:hAnsi="Arial" w:cs="Arial"/>
          <w:color w:val="333333"/>
          <w:sz w:val="26"/>
          <w:szCs w:val="26"/>
        </w:rPr>
      </w:pPr>
      <w:r w:rsidRPr="00467359">
        <w:rPr>
          <w:rFonts w:ascii="Arial" w:eastAsia="Times New Roman" w:hAnsi="Arial" w:cs="Arial"/>
          <w:color w:val="333333"/>
          <w:sz w:val="26"/>
          <w:szCs w:val="26"/>
        </w:rPr>
        <w:t xml:space="preserve">Aberrant expression of miRNAs has a link with </w:t>
      </w:r>
      <w:proofErr w:type="spellStart"/>
      <w:r w:rsidRPr="00467359">
        <w:rPr>
          <w:rFonts w:ascii="Arial" w:eastAsia="Times New Roman" w:hAnsi="Arial" w:cs="Arial"/>
          <w:color w:val="333333"/>
          <w:sz w:val="26"/>
          <w:szCs w:val="26"/>
        </w:rPr>
        <w:t>tumorgenesis</w:t>
      </w:r>
      <w:proofErr w:type="spellEnd"/>
      <w:r w:rsidRPr="00467359">
        <w:rPr>
          <w:rFonts w:ascii="Arial" w:eastAsia="Times New Roman" w:hAnsi="Arial" w:cs="Arial"/>
          <w:color w:val="333333"/>
          <w:sz w:val="26"/>
          <w:szCs w:val="26"/>
        </w:rPr>
        <w:t xml:space="preserve"> and their deregulation is reported in biological fluids of cancer patients. Authors aimed to investigate the diagnostic role of miRNA-17-5p, miR-155 and miRNA-222 in serum samples from breast cancer patients (</w:t>
      </w:r>
      <w:r w:rsidRPr="00467359">
        <w:rPr>
          <w:rFonts w:ascii="Arial" w:eastAsia="Times New Roman" w:hAnsi="Arial" w:cs="Arial"/>
          <w:i/>
          <w:iCs/>
          <w:color w:val="333333"/>
          <w:sz w:val="26"/>
          <w:szCs w:val="26"/>
        </w:rPr>
        <w:t>n</w:t>
      </w:r>
      <w:r w:rsidRPr="00467359">
        <w:rPr>
          <w:rFonts w:ascii="Arial" w:eastAsia="Times New Roman" w:hAnsi="Arial" w:cs="Arial"/>
          <w:color w:val="333333"/>
          <w:sz w:val="26"/>
          <w:szCs w:val="26"/>
        </w:rPr>
        <w:t> = 80), benign breast patients (</w:t>
      </w:r>
      <w:r w:rsidRPr="00467359">
        <w:rPr>
          <w:rFonts w:ascii="Arial" w:eastAsia="Times New Roman" w:hAnsi="Arial" w:cs="Arial"/>
          <w:i/>
          <w:iCs/>
          <w:color w:val="333333"/>
          <w:sz w:val="26"/>
          <w:szCs w:val="26"/>
        </w:rPr>
        <w:t>n</w:t>
      </w:r>
      <w:r w:rsidRPr="00467359">
        <w:rPr>
          <w:rFonts w:ascii="Arial" w:eastAsia="Times New Roman" w:hAnsi="Arial" w:cs="Arial"/>
          <w:color w:val="333333"/>
          <w:sz w:val="26"/>
          <w:szCs w:val="26"/>
        </w:rPr>
        <w:t> = 40) and healthy individuals (</w:t>
      </w:r>
      <w:r w:rsidRPr="00467359">
        <w:rPr>
          <w:rFonts w:ascii="Arial" w:eastAsia="Times New Roman" w:hAnsi="Arial" w:cs="Arial"/>
          <w:i/>
          <w:iCs/>
          <w:color w:val="333333"/>
          <w:sz w:val="26"/>
          <w:szCs w:val="26"/>
        </w:rPr>
        <w:t>n</w:t>
      </w:r>
      <w:r w:rsidRPr="00467359">
        <w:rPr>
          <w:rFonts w:ascii="Arial" w:eastAsia="Times New Roman" w:hAnsi="Arial" w:cs="Arial"/>
          <w:color w:val="333333"/>
          <w:sz w:val="26"/>
          <w:szCs w:val="26"/>
        </w:rPr>
        <w:t> = 30) using quantitative real-time PCR technique. Median levels of investigated markers revealed significant increase in primary breast cancer followed by benign and control groups. Investigated miRNAs reported significant relation with clinical stages and histological grading, while only miRNA-17-5p showed significant relation with hormone receptors. When considering investigated miRNAs as compared to tumor marker, their sensitivities were superior over tumor markers for early diagnosis of breast cancer, detection of early stages and low grades breast cancer patients. In conclusion, detection of the miRNA-17-5p, miR-155 and miRNA-222 expression levels in serum samples is significant promising molecular markers for early breast cancer diagnosis.</w:t>
      </w:r>
    </w:p>
    <w:p w:rsidR="00467359" w:rsidRPr="00467359" w:rsidRDefault="00467359" w:rsidP="00467359">
      <w:pPr>
        <w:spacing w:after="0" w:line="240" w:lineRule="auto"/>
        <w:rPr>
          <w:rFonts w:ascii="Arial" w:eastAsia="Times New Roman" w:hAnsi="Arial" w:cs="Arial"/>
          <w:color w:val="333333"/>
          <w:sz w:val="20"/>
          <w:szCs w:val="20"/>
        </w:rPr>
      </w:pPr>
      <w:r w:rsidRPr="00467359">
        <w:rPr>
          <w:rFonts w:ascii="Arial" w:eastAsia="Times New Roman" w:hAnsi="Arial" w:cs="Arial"/>
          <w:color w:val="333333"/>
          <w:sz w:val="20"/>
          <w:szCs w:val="20"/>
        </w:rPr>
        <w:t>Keywords: </w:t>
      </w:r>
      <w:hyperlink r:id="rId5" w:history="1">
        <w:r w:rsidRPr="00467359">
          <w:rPr>
            <w:rFonts w:ascii="Arial" w:eastAsia="Times New Roman" w:hAnsi="Arial" w:cs="Arial"/>
            <w:color w:val="10147E"/>
            <w:sz w:val="20"/>
            <w:szCs w:val="20"/>
          </w:rPr>
          <w:t>Breast cancer</w:t>
        </w:r>
      </w:hyperlink>
      <w:r w:rsidRPr="00467359">
        <w:rPr>
          <w:rFonts w:ascii="Arial" w:eastAsia="Times New Roman" w:hAnsi="Arial" w:cs="Arial"/>
          <w:color w:val="333333"/>
          <w:sz w:val="20"/>
          <w:szCs w:val="20"/>
        </w:rPr>
        <w:t>, </w:t>
      </w:r>
      <w:hyperlink r:id="rId6" w:history="1">
        <w:r w:rsidRPr="00467359">
          <w:rPr>
            <w:rFonts w:ascii="Arial" w:eastAsia="Times New Roman" w:hAnsi="Arial" w:cs="Arial"/>
            <w:color w:val="10147E"/>
            <w:sz w:val="20"/>
            <w:szCs w:val="20"/>
          </w:rPr>
          <w:t>circulating molecular marker</w:t>
        </w:r>
      </w:hyperlink>
      <w:r w:rsidRPr="00467359">
        <w:rPr>
          <w:rFonts w:ascii="Arial" w:eastAsia="Times New Roman" w:hAnsi="Arial" w:cs="Arial"/>
          <w:color w:val="333333"/>
          <w:sz w:val="20"/>
          <w:szCs w:val="20"/>
        </w:rPr>
        <w:t>, </w:t>
      </w:r>
      <w:hyperlink r:id="rId7" w:history="1">
        <w:r w:rsidRPr="00467359">
          <w:rPr>
            <w:rFonts w:ascii="Arial" w:eastAsia="Times New Roman" w:hAnsi="Arial" w:cs="Arial"/>
            <w:color w:val="10147E"/>
            <w:sz w:val="20"/>
            <w:szCs w:val="20"/>
          </w:rPr>
          <w:t>diagnosis</w:t>
        </w:r>
      </w:hyperlink>
      <w:r w:rsidRPr="00467359">
        <w:rPr>
          <w:rFonts w:ascii="Arial" w:eastAsia="Times New Roman" w:hAnsi="Arial" w:cs="Arial"/>
          <w:color w:val="333333"/>
          <w:sz w:val="20"/>
          <w:szCs w:val="20"/>
        </w:rPr>
        <w:t>, </w:t>
      </w:r>
      <w:hyperlink r:id="rId8" w:history="1">
        <w:r w:rsidRPr="00467359">
          <w:rPr>
            <w:rFonts w:ascii="Arial" w:eastAsia="Times New Roman" w:hAnsi="Arial" w:cs="Arial"/>
            <w:color w:val="10147E"/>
            <w:sz w:val="20"/>
            <w:szCs w:val="20"/>
          </w:rPr>
          <w:t>miRNAs</w:t>
        </w:r>
      </w:hyperlink>
    </w:p>
    <w:p w:rsidR="00371B88" w:rsidRPr="0012248F" w:rsidRDefault="00467359" w:rsidP="0012248F">
      <w:bookmarkStart w:id="0" w:name="_GoBack"/>
      <w:bookmarkEnd w:id="0"/>
    </w:p>
    <w:sectPr w:rsidR="00371B88" w:rsidRPr="0012248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4E7"/>
    <w:rsid w:val="000D420F"/>
    <w:rsid w:val="0012248F"/>
    <w:rsid w:val="001E31C3"/>
    <w:rsid w:val="00467359"/>
    <w:rsid w:val="00580AB0"/>
    <w:rsid w:val="009414E7"/>
    <w:rsid w:val="00A174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74C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74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1411">
      <w:bodyDiv w:val="1"/>
      <w:marLeft w:val="0"/>
      <w:marRight w:val="0"/>
      <w:marTop w:val="0"/>
      <w:marBottom w:val="0"/>
      <w:divBdr>
        <w:top w:val="none" w:sz="0" w:space="0" w:color="auto"/>
        <w:left w:val="none" w:sz="0" w:space="0" w:color="auto"/>
        <w:bottom w:val="none" w:sz="0" w:space="0" w:color="auto"/>
        <w:right w:val="none" w:sz="0" w:space="0" w:color="auto"/>
      </w:divBdr>
      <w:divsChild>
        <w:div w:id="1682272914">
          <w:marLeft w:val="0"/>
          <w:marRight w:val="0"/>
          <w:marTop w:val="0"/>
          <w:marBottom w:val="0"/>
          <w:divBdr>
            <w:top w:val="none" w:sz="0" w:space="0" w:color="auto"/>
            <w:left w:val="none" w:sz="0" w:space="0" w:color="auto"/>
            <w:bottom w:val="none" w:sz="0" w:space="0" w:color="auto"/>
            <w:right w:val="none" w:sz="0" w:space="0" w:color="auto"/>
          </w:divBdr>
          <w:divsChild>
            <w:div w:id="2123261585">
              <w:marLeft w:val="0"/>
              <w:marRight w:val="0"/>
              <w:marTop w:val="0"/>
              <w:marBottom w:val="0"/>
              <w:divBdr>
                <w:top w:val="none" w:sz="0" w:space="0" w:color="auto"/>
                <w:left w:val="none" w:sz="0" w:space="0" w:color="auto"/>
                <w:bottom w:val="none" w:sz="0" w:space="0" w:color="auto"/>
                <w:right w:val="none" w:sz="0" w:space="0" w:color="auto"/>
              </w:divBdr>
            </w:div>
          </w:divsChild>
        </w:div>
        <w:div w:id="15466653">
          <w:marLeft w:val="0"/>
          <w:marRight w:val="0"/>
          <w:marTop w:val="0"/>
          <w:marBottom w:val="0"/>
          <w:divBdr>
            <w:top w:val="none" w:sz="0" w:space="0" w:color="auto"/>
            <w:left w:val="none" w:sz="0" w:space="0" w:color="auto"/>
            <w:bottom w:val="none" w:sz="0" w:space="0" w:color="auto"/>
            <w:right w:val="none" w:sz="0" w:space="0" w:color="auto"/>
          </w:divBdr>
        </w:div>
      </w:divsChild>
    </w:div>
    <w:div w:id="35929225">
      <w:bodyDiv w:val="1"/>
      <w:marLeft w:val="0"/>
      <w:marRight w:val="0"/>
      <w:marTop w:val="0"/>
      <w:marBottom w:val="0"/>
      <w:divBdr>
        <w:top w:val="none" w:sz="0" w:space="0" w:color="auto"/>
        <w:left w:val="none" w:sz="0" w:space="0" w:color="auto"/>
        <w:bottom w:val="none" w:sz="0" w:space="0" w:color="auto"/>
        <w:right w:val="none" w:sz="0" w:space="0" w:color="auto"/>
      </w:divBdr>
    </w:div>
    <w:div w:id="234631948">
      <w:bodyDiv w:val="1"/>
      <w:marLeft w:val="0"/>
      <w:marRight w:val="0"/>
      <w:marTop w:val="0"/>
      <w:marBottom w:val="0"/>
      <w:divBdr>
        <w:top w:val="none" w:sz="0" w:space="0" w:color="auto"/>
        <w:left w:val="none" w:sz="0" w:space="0" w:color="auto"/>
        <w:bottom w:val="none" w:sz="0" w:space="0" w:color="auto"/>
        <w:right w:val="none" w:sz="0" w:space="0" w:color="auto"/>
      </w:divBdr>
      <w:divsChild>
        <w:div w:id="945578137">
          <w:marLeft w:val="0"/>
          <w:marRight w:val="0"/>
          <w:marTop w:val="0"/>
          <w:marBottom w:val="0"/>
          <w:divBdr>
            <w:top w:val="none" w:sz="0" w:space="0" w:color="auto"/>
            <w:left w:val="none" w:sz="0" w:space="0" w:color="auto"/>
            <w:bottom w:val="none" w:sz="0" w:space="0" w:color="auto"/>
            <w:right w:val="none" w:sz="0" w:space="0" w:color="auto"/>
          </w:divBdr>
        </w:div>
        <w:div w:id="1915046950">
          <w:marLeft w:val="0"/>
          <w:marRight w:val="0"/>
          <w:marTop w:val="0"/>
          <w:marBottom w:val="0"/>
          <w:divBdr>
            <w:top w:val="none" w:sz="0" w:space="0" w:color="auto"/>
            <w:left w:val="none" w:sz="0" w:space="0" w:color="auto"/>
            <w:bottom w:val="none" w:sz="0" w:space="0" w:color="auto"/>
            <w:right w:val="none" w:sz="0" w:space="0" w:color="auto"/>
          </w:divBdr>
        </w:div>
        <w:div w:id="1521236212">
          <w:marLeft w:val="0"/>
          <w:marRight w:val="0"/>
          <w:marTop w:val="0"/>
          <w:marBottom w:val="0"/>
          <w:divBdr>
            <w:top w:val="none" w:sz="0" w:space="0" w:color="auto"/>
            <w:left w:val="none" w:sz="0" w:space="0" w:color="auto"/>
            <w:bottom w:val="none" w:sz="0" w:space="0" w:color="auto"/>
            <w:right w:val="none" w:sz="0" w:space="0" w:color="auto"/>
          </w:divBdr>
        </w:div>
      </w:divsChild>
    </w:div>
    <w:div w:id="1315111512">
      <w:bodyDiv w:val="1"/>
      <w:marLeft w:val="0"/>
      <w:marRight w:val="0"/>
      <w:marTop w:val="0"/>
      <w:marBottom w:val="0"/>
      <w:divBdr>
        <w:top w:val="none" w:sz="0" w:space="0" w:color="auto"/>
        <w:left w:val="none" w:sz="0" w:space="0" w:color="auto"/>
        <w:bottom w:val="none" w:sz="0" w:space="0" w:color="auto"/>
        <w:right w:val="none" w:sz="0" w:space="0" w:color="auto"/>
      </w:divBdr>
      <w:divsChild>
        <w:div w:id="1590965449">
          <w:marLeft w:val="0"/>
          <w:marRight w:val="0"/>
          <w:marTop w:val="0"/>
          <w:marBottom w:val="0"/>
          <w:divBdr>
            <w:top w:val="none" w:sz="0" w:space="0" w:color="auto"/>
            <w:left w:val="none" w:sz="0" w:space="0" w:color="auto"/>
            <w:bottom w:val="none" w:sz="0" w:space="0" w:color="auto"/>
            <w:right w:val="none" w:sz="0" w:space="0" w:color="auto"/>
          </w:divBdr>
          <w:divsChild>
            <w:div w:id="1370229126">
              <w:marLeft w:val="0"/>
              <w:marRight w:val="0"/>
              <w:marTop w:val="0"/>
              <w:marBottom w:val="0"/>
              <w:divBdr>
                <w:top w:val="none" w:sz="0" w:space="0" w:color="auto"/>
                <w:left w:val="none" w:sz="0" w:space="0" w:color="auto"/>
                <w:bottom w:val="none" w:sz="0" w:space="0" w:color="auto"/>
                <w:right w:val="none" w:sz="0" w:space="0" w:color="auto"/>
              </w:divBdr>
            </w:div>
          </w:divsChild>
        </w:div>
        <w:div w:id="611714574">
          <w:marLeft w:val="0"/>
          <w:marRight w:val="0"/>
          <w:marTop w:val="0"/>
          <w:marBottom w:val="0"/>
          <w:divBdr>
            <w:top w:val="none" w:sz="0" w:space="0" w:color="auto"/>
            <w:left w:val="none" w:sz="0" w:space="0" w:color="auto"/>
            <w:bottom w:val="none" w:sz="0" w:space="0" w:color="auto"/>
            <w:right w:val="none" w:sz="0" w:space="0" w:color="auto"/>
          </w:divBdr>
        </w:div>
        <w:div w:id="1536196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keyword/Mirnas" TargetMode="External"/><Relationship Id="rId3" Type="http://schemas.openxmlformats.org/officeDocument/2006/relationships/settings" Target="settings.xml"/><Relationship Id="rId7" Type="http://schemas.openxmlformats.org/officeDocument/2006/relationships/hyperlink" Target="https://www.tandfonline.com/keyword/Diagnosi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andfonline.com/keyword/Circulating+Molecular+Marker" TargetMode="External"/><Relationship Id="rId5" Type="http://schemas.openxmlformats.org/officeDocument/2006/relationships/hyperlink" Target="https://www.tandfonline.com/keyword/Breast+Canc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1228</Characters>
  <Application>Microsoft Office Word</Application>
  <DocSecurity>0</DocSecurity>
  <Lines>10</Lines>
  <Paragraphs>2</Paragraphs>
  <ScaleCrop>false</ScaleCrop>
  <Company>Microsoft Office</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mongy</dc:creator>
  <cp:keywords/>
  <dc:description/>
  <cp:lastModifiedBy>el mongy</cp:lastModifiedBy>
  <cp:revision>5</cp:revision>
  <dcterms:created xsi:type="dcterms:W3CDTF">2020-04-06T21:53:00Z</dcterms:created>
  <dcterms:modified xsi:type="dcterms:W3CDTF">2020-04-06T22:15:00Z</dcterms:modified>
</cp:coreProperties>
</file>