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31313"/>
          <w:sz w:val="24"/>
          <w:szCs w:val="24"/>
        </w:rPr>
      </w:pPr>
      <w:r w:rsidRPr="00645E4B">
        <w:rPr>
          <w:rFonts w:ascii="Arial" w:hAnsi="Arial" w:cs="Arial"/>
          <w:b/>
          <w:bCs/>
          <w:color w:val="131313"/>
          <w:sz w:val="24"/>
          <w:szCs w:val="24"/>
        </w:rPr>
        <w:t>Abstract</w:t>
      </w:r>
    </w:p>
    <w:p w:rsidR="00645E4B" w:rsidRP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sz w:val="24"/>
          <w:szCs w:val="24"/>
        </w:rPr>
      </w:pPr>
      <w:r w:rsidRPr="00645E4B">
        <w:rPr>
          <w:rFonts w:ascii="Arial" w:hAnsi="Arial" w:cs="Arial"/>
          <w:b/>
          <w:bCs/>
          <w:color w:val="131313"/>
          <w:sz w:val="24"/>
          <w:szCs w:val="24"/>
        </w:rPr>
        <w:t>Background: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In the current study, we have investigated the effect of each of curcumin (CUR) and sulfamethoxazole</w:t>
      </w:r>
      <w:r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(SMX) either separate or mixed together (CUR + SMX) on biochemical, hematological and histological alternations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associated with carbon tetrachloride (CCl4)-induced liver fibrosis in mice.</w:t>
      </w:r>
    </w:p>
    <w:p w:rsidR="00645E4B" w:rsidRP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E4B" w:rsidRP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4B">
        <w:rPr>
          <w:rFonts w:ascii="Arial" w:hAnsi="Arial" w:cs="Arial"/>
          <w:b/>
          <w:bCs/>
          <w:color w:val="131313"/>
          <w:sz w:val="24"/>
          <w:szCs w:val="24"/>
        </w:rPr>
        <w:t>Results: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CCl4, caused changes of several biomarkers, proving its hepatotoxic effects, such as an increase in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aminotransferases liver enzymes alanine and aspartate transaminases (ALT, AST), </w:t>
      </w:r>
      <w:proofErr w:type="spellStart"/>
      <w:r w:rsidRPr="00645E4B">
        <w:rPr>
          <w:rFonts w:ascii="Arial" w:hAnsi="Arial" w:cs="Arial"/>
          <w:color w:val="131313"/>
          <w:sz w:val="24"/>
          <w:szCs w:val="24"/>
        </w:rPr>
        <w:t>malondialdehyde</w:t>
      </w:r>
      <w:proofErr w:type="spellEnd"/>
      <w:r w:rsidRPr="00645E4B">
        <w:rPr>
          <w:rFonts w:ascii="Arial" w:hAnsi="Arial" w:cs="Arial"/>
          <w:color w:val="131313"/>
          <w:sz w:val="24"/>
          <w:szCs w:val="24"/>
        </w:rPr>
        <w:t xml:space="preserve"> (MDA), and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nitric oxide (NO) formation, with a decrease in superoxide dismutase (SOD), glutathione reductase (GSSG),total antioxidant capacity (TAO), glutathione (GSH), total protein, and albumin, compared to a negative control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mice group. Compared to the CCl4 group of mice, the CUR and SMX separate and/or together (CUR + SMX)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treatments showed significance in (p &lt; 0.001), ameliorated liver injury (characterized by an elevation of (ALT,</w:t>
      </w:r>
      <w:r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AST) and a decrease (p &lt; 0.001) in serum albumin and total protein), antioxidant (characterized by a decrease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in (p &lt; 0.001) MDA, NO; an increase (p &lt; 0.001) SOD, GSSG, TAO; and reducing GSH), hematological changes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(characterized by a decrease (p &lt; 0.001) in white blood cells count and an increase (p &lt; 0.001) in platelets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count, hematocrit levels, hemoglobin concentration, and (p &lt; 0.05) red blood cells count), SDS-PAGE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electrophoresis with a decrease in protein synthesis and changes in histological examinations.</w:t>
      </w:r>
    </w:p>
    <w:p w:rsid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31313"/>
          <w:sz w:val="24"/>
          <w:szCs w:val="24"/>
        </w:rPr>
      </w:pPr>
      <w:r w:rsidRPr="00645E4B">
        <w:rPr>
          <w:rFonts w:ascii="Arial" w:hAnsi="Arial" w:cs="Arial"/>
          <w:b/>
          <w:bCs/>
          <w:color w:val="131313"/>
          <w:sz w:val="24"/>
          <w:szCs w:val="24"/>
        </w:rPr>
        <w:t>Conclusions</w:t>
      </w:r>
      <w:r w:rsidRPr="00645E4B">
        <w:rPr>
          <w:rFonts w:ascii="Arial" w:hAnsi="Arial" w:cs="Arial"/>
          <w:color w:val="131313"/>
          <w:sz w:val="24"/>
          <w:szCs w:val="24"/>
        </w:rPr>
        <w:t>: CUR and SMX either separate or together (SUR + SMX) may be considered promising</w:t>
      </w:r>
      <w:r>
        <w:rPr>
          <w:rFonts w:ascii="Arial" w:hAnsi="Arial" w:cs="Arial"/>
          <w:color w:val="131313"/>
          <w:sz w:val="24"/>
          <w:szCs w:val="24"/>
        </w:rPr>
        <w:t xml:space="preserve"> </w:t>
      </w:r>
      <w:r w:rsidRPr="00645E4B">
        <w:rPr>
          <w:rFonts w:ascii="Arial" w:hAnsi="Arial" w:cs="Arial"/>
          <w:color w:val="131313"/>
          <w:sz w:val="24"/>
          <w:szCs w:val="24"/>
        </w:rPr>
        <w:t>candidates in the prevention and treatment of liver fibrosis.</w:t>
      </w:r>
    </w:p>
    <w:p w:rsidR="00645E4B" w:rsidRPr="00645E4B" w:rsidRDefault="00645E4B" w:rsidP="0064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88" w:rsidRPr="00645E4B" w:rsidRDefault="00645E4B" w:rsidP="00645E4B">
      <w:pPr>
        <w:rPr>
          <w:sz w:val="24"/>
          <w:szCs w:val="24"/>
        </w:rPr>
      </w:pPr>
      <w:r w:rsidRPr="00645E4B">
        <w:rPr>
          <w:rFonts w:ascii="Arial" w:hAnsi="Arial" w:cs="Arial"/>
          <w:b/>
          <w:bCs/>
          <w:color w:val="131313"/>
          <w:sz w:val="24"/>
          <w:szCs w:val="24"/>
        </w:rPr>
        <w:t>Keywords:</w:t>
      </w:r>
      <w:r w:rsidRPr="00645E4B">
        <w:rPr>
          <w:rFonts w:ascii="Arial" w:hAnsi="Arial" w:cs="Arial"/>
          <w:color w:val="131313"/>
          <w:sz w:val="24"/>
          <w:szCs w:val="24"/>
        </w:rPr>
        <w:t xml:space="preserve"> Fibrosis, Carbon tetrachloride, Curcumin, Sulfamethoxazole, Oxidative stress, Histopathology</w:t>
      </w:r>
    </w:p>
    <w:sectPr w:rsidR="00371B88" w:rsidRPr="00645E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C"/>
    <w:rsid w:val="000D420F"/>
    <w:rsid w:val="00580AB0"/>
    <w:rsid w:val="00645E4B"/>
    <w:rsid w:val="00A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Company>Microsoft Office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mongy</dc:creator>
  <cp:keywords/>
  <dc:description/>
  <cp:lastModifiedBy>el mongy</cp:lastModifiedBy>
  <cp:revision>3</cp:revision>
  <dcterms:created xsi:type="dcterms:W3CDTF">2020-05-08T23:10:00Z</dcterms:created>
  <dcterms:modified xsi:type="dcterms:W3CDTF">2020-05-08T23:13:00Z</dcterms:modified>
</cp:coreProperties>
</file>